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3B" w:rsidRPr="00685C80" w:rsidRDefault="00C2163B" w:rsidP="00C2163B">
      <w:pPr>
        <w:tabs>
          <w:tab w:val="left" w:pos="1187"/>
        </w:tabs>
        <w:ind w:firstLine="6379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Додаток 6</w:t>
      </w:r>
    </w:p>
    <w:p w:rsidR="00C2163B" w:rsidRPr="00685C80" w:rsidRDefault="00C2163B" w:rsidP="00C2163B">
      <w:pPr>
        <w:shd w:val="clear" w:color="auto" w:fill="FFFFFF"/>
        <w:ind w:firstLine="6379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 Програми</w:t>
      </w:r>
    </w:p>
    <w:p w:rsidR="00C2163B" w:rsidRDefault="00C2163B" w:rsidP="00C2163B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(у редакції розпорядження</w:t>
      </w:r>
    </w:p>
    <w:p w:rsidR="00C2163B" w:rsidRDefault="00C2163B" w:rsidP="00C2163B">
      <w:pPr>
        <w:ind w:left="6379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05.05.2026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22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  <w:u w:val="single"/>
        </w:rPr>
        <w:t>293)</w:t>
      </w:r>
    </w:p>
    <w:p w:rsidR="00C2163B" w:rsidRPr="00685C80" w:rsidRDefault="00C2163B" w:rsidP="00C2163B">
      <w:pPr>
        <w:ind w:firstLine="6379"/>
        <w:rPr>
          <w:rFonts w:ascii="Times New Roman" w:hAnsi="Times New Roman" w:cs="Times New Roman"/>
          <w:sz w:val="28"/>
          <w:szCs w:val="28"/>
        </w:rPr>
      </w:pPr>
    </w:p>
    <w:p w:rsidR="00C2163B" w:rsidRDefault="00C2163B" w:rsidP="00C2163B">
      <w:pPr>
        <w:tabs>
          <w:tab w:val="left" w:pos="3375"/>
          <w:tab w:val="center" w:pos="481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163B" w:rsidRPr="00685C80" w:rsidRDefault="00C2163B" w:rsidP="00C2163B">
      <w:pPr>
        <w:tabs>
          <w:tab w:val="left" w:pos="3375"/>
          <w:tab w:val="center" w:pos="481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C80">
        <w:rPr>
          <w:rFonts w:ascii="Times New Roman" w:hAnsi="Times New Roman" w:cs="Times New Roman"/>
          <w:bCs/>
          <w:sz w:val="28"/>
          <w:szCs w:val="28"/>
        </w:rPr>
        <w:t>ПОЛОЖЕННЯ</w:t>
      </w:r>
    </w:p>
    <w:p w:rsidR="00C2163B" w:rsidRPr="00685C80" w:rsidRDefault="00C2163B" w:rsidP="00C2163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C80">
        <w:rPr>
          <w:rFonts w:ascii="Times New Roman" w:hAnsi="Times New Roman" w:cs="Times New Roman"/>
          <w:bCs/>
          <w:sz w:val="28"/>
          <w:szCs w:val="28"/>
        </w:rPr>
        <w:t xml:space="preserve">про порядок використання коштів обласного бюджету </w:t>
      </w:r>
    </w:p>
    <w:p w:rsidR="00C2163B" w:rsidRPr="00685C80" w:rsidRDefault="00C2163B" w:rsidP="00C2163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C80">
        <w:rPr>
          <w:rFonts w:ascii="Times New Roman" w:hAnsi="Times New Roman" w:cs="Times New Roman"/>
          <w:bCs/>
          <w:sz w:val="28"/>
          <w:szCs w:val="28"/>
        </w:rPr>
        <w:t>для організації та проведення конкурсу бізнес-</w:t>
      </w:r>
      <w:proofErr w:type="spellStart"/>
      <w:r w:rsidRPr="00685C80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685C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163B" w:rsidRPr="00685C80" w:rsidRDefault="00C2163B" w:rsidP="00C2163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5C80">
        <w:rPr>
          <w:rFonts w:ascii="Times New Roman" w:hAnsi="Times New Roman" w:cs="Times New Roman"/>
          <w:bCs/>
          <w:sz w:val="28"/>
          <w:szCs w:val="28"/>
        </w:rPr>
        <w:t>для підприємців-початківців (</w:t>
      </w:r>
      <w:proofErr w:type="spellStart"/>
      <w:r w:rsidRPr="00685C80">
        <w:rPr>
          <w:rFonts w:ascii="Times New Roman" w:hAnsi="Times New Roman" w:cs="Times New Roman"/>
          <w:bCs/>
          <w:sz w:val="28"/>
          <w:szCs w:val="28"/>
        </w:rPr>
        <w:t>стартапи</w:t>
      </w:r>
      <w:proofErr w:type="spellEnd"/>
      <w:r w:rsidRPr="00685C80">
        <w:rPr>
          <w:rFonts w:ascii="Times New Roman" w:hAnsi="Times New Roman" w:cs="Times New Roman"/>
          <w:bCs/>
          <w:sz w:val="28"/>
          <w:szCs w:val="28"/>
        </w:rPr>
        <w:t>)</w:t>
      </w:r>
    </w:p>
    <w:p w:rsidR="00C2163B" w:rsidRPr="00685C80" w:rsidRDefault="00C2163B" w:rsidP="00C2163B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108"/>
      </w:tblGrid>
      <w:tr w:rsidR="00C2163B" w:rsidRPr="00685C80" w:rsidTr="004146BC">
        <w:tc>
          <w:tcPr>
            <w:tcW w:w="9747" w:type="dxa"/>
            <w:gridSpan w:val="2"/>
          </w:tcPr>
          <w:p w:rsidR="00C2163B" w:rsidRPr="00685C80" w:rsidRDefault="00C2163B" w:rsidP="004146BC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Загальні положення</w:t>
            </w:r>
          </w:p>
          <w:p w:rsidR="00C2163B" w:rsidRPr="00685C80" w:rsidRDefault="00C2163B" w:rsidP="004146BC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1.1. 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Положення про порядок використання коштів обласного бюджету для організації та проведення конкурсу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для підприємців-початківців (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стартапи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(далі – Положення) визначає механізм надання на конкурсних засадах безповоротної фінансової допомоги фізичним особам – підприємцям (далі – ФОП) за рахунок коштів обласного бюджету (далі – Конкурс).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1.2. У цьому Положенні терміни вживаються у таких значеннях: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Учасники Конкурсу: 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громадяни України, які досягли 18 років та зареєстровані на території Закарпатської області;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ФОП, які зареєстровані та здійснюють підприємницьку діяльність у Закарпатській області не більше трьох років з дати реєстрації в Єдиному державному реєстрі юридичних осіб, фізичних осіб – підприємців та громадських формувань (далі – ЄДР);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ФОП, які зареєстровані та здійснюють підприємницьку діяльність у Закарпатській області більше трьох років, але додали вид діяльності, що не був зареєстрований раніше у ФОП та визначає новий напрям діяльності ФОП із реалізації бізнес-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та термін включення нового виду діяльності не перевищує три роки з дати внесення змін до ЄДР; 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громадяни України, які досягли 18 років та мають статус внутрішньо переміщених осіб у Закарпатську область (далі – ВПО);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ФОП – ВПО за умови перереєстрації діяльності (внесення змін в ЄДР щодо місця реєстрації) у Закарпатську область;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фінансова допомога (фінансова підтримка) – безповоротна 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державна допомога за рахунок ресурсів обласного бюджету для підтримки фізичних осіб – підприємців (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стартапи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)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яка не перевищує 200 000 гривень, із подальшим поданням звіту про використання отриманих бюджетних коштів</w:t>
            </w:r>
            <w:r w:rsidRPr="00685C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одержувач фінансової підтримки –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учасник Конкурсу, який за результатами оцінювання визначений переможцем відповідно до протокольного рішення Конкурсної комісії, та з яким укладено договір про надання фінансової підтримки за рахунок коштів обласного бюджету.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C2163B" w:rsidRPr="00685C80" w:rsidRDefault="00C2163B" w:rsidP="004146BC">
            <w:pPr>
              <w:suppressAutoHyphens w:val="0"/>
              <w:ind w:firstLine="597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85C8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Фінансова допомога надається для придбання обладнання, комплектуючих до нього, матеріалів, сировини та іншого інвентарю, необхідного для реалізації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бізнес-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та перелік якого зазначено у            таблиці 5 додатка 3 до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Положення</w:t>
            </w:r>
            <w:r w:rsidRPr="00685C8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C2163B" w:rsidRPr="00685C80" w:rsidRDefault="00C2163B" w:rsidP="004146BC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1.3. Головним розпорядником коштів обласного бюджету з надання фінансової підтримки та відповідальним виконавцем, який забезпечує організацію та проведення Конкурсу відповідно до умов цього Положення, є департамент економічного та регіонального розвитку обласної державної адміністрації – обласної військової адміністрації.</w:t>
            </w:r>
          </w:p>
          <w:p w:rsidR="00C2163B" w:rsidRPr="00685C80" w:rsidRDefault="00C2163B" w:rsidP="004146BC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r w:rsidRPr="00685C8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Мета і завдання Конкурсу</w:t>
            </w:r>
          </w:p>
          <w:p w:rsidR="00C2163B" w:rsidRPr="00685C80" w:rsidRDefault="00C2163B" w:rsidP="004146BC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2.1. Метою проведення Конкурсу є підтримка підприємницьких ініціатив щодо започаткування та ведення власної справи шляхом відбору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Учасників Конкурсу, інноваційних підприємницьких ідей для реалізації на території Закарпатської області, які 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співфінансуватимуться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за рахунок коштів обласного бюджету.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2.2. Завданнями Конкурсу є: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стимулювання інвестиційної та інноваційної активності суб’єктів малого і середнього підприємництва;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відбір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Учасників Конкурсу з метою надання фінансової підтримки за рахунок коштів обласного бюджету;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забезпечення зайнятості населення шляхом підтримки підприємницької ініціативи громадян;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популяризація ідей підприємництва та інструментів підтримки бізнесу в області.</w:t>
            </w: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3. Умови участі у Конкурсі</w:t>
            </w:r>
          </w:p>
          <w:p w:rsidR="00C2163B" w:rsidRPr="00685C80" w:rsidRDefault="00C2163B" w:rsidP="004146B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3.1. У Конкурсі можуть брати участь Учасники, визначені у підпункті 1.2   розділу 1 цього Положення. 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3.2. Об’єктом відбору Конкурсу є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проєкти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Учасників, які передбачають започаткування підприємницької діяльності, створення нових напрямів або розширення вже існуючих видів діяльності (виробництва, послуг), а також забезпечують створення нових робочих місць тощо.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3.3. 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проєкти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, відібрані у межах Конкурсу, повинні реалізовуватися у Закарпатській області. Переможець Конкурсу зобов’язується реалізувати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проєкт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, на який отримано фінансову підтримку, не пізніше ніж за шість місяців із моменту її отримання.</w:t>
            </w:r>
          </w:p>
          <w:p w:rsidR="00C2163B" w:rsidRPr="00685C80" w:rsidRDefault="00C2163B" w:rsidP="004146BC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3.4. Участь у Конкурсі є безкоштовною.</w:t>
            </w:r>
          </w:p>
          <w:p w:rsidR="00C2163B" w:rsidRPr="00685C80" w:rsidRDefault="00C2163B" w:rsidP="004146BC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3.5. Учасниками Конкурсу не можуть бути особи, які: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є нерезидентами України; 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здійснюють такі види діяльності: виробництво, постачання, продаж (реалізацію) підакцизних товарів; ювелірних виробів з дорогоцінних металів та дорогоцінного каміння; зброї; обмін іноземної валюти; діяльність у сфері фінансового посередництва; діяльність з організації, проведення азартних ігор, лотерей; діяльність з продажу предметів мистецтва та антикваріату; діяльність з організації, проведення гастрольних заходів; надають посередницькі послуги з купівлі, продажу, оренди та оцінювання нерухомого майна;</w:t>
            </w:r>
          </w:p>
          <w:p w:rsidR="00C2163B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lastRenderedPageBreak/>
              <w:t>мають заборгованість зі сплати податків та зборів до бюджету;</w:t>
            </w:r>
          </w:p>
          <w:p w:rsidR="00C2163B" w:rsidRPr="00685C80" w:rsidRDefault="00C2163B" w:rsidP="004146BC">
            <w:pPr>
              <w:tabs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отримали державну допомогу за рахунок коштів обласного або місцевого бюджету у поточному році.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ar-SA"/>
              </w:rPr>
              <w:t>Пакет необхідних документів для участі у Конкурсі: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заявка на участь у Конкурсі (додаток 1 до Положення – для зареєстрованих ФОП; додаток 2 до Положення – для осіб, які не є суб’єктами підприємницької діяльності);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реєстраційна картка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проєкту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(додаток 3 до Положення);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бізнес-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проєкт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заява про відсутність обмежень, визначених підпунктом 3.5 розділу 3 цього Положення, про порядок використання коштів обласного бюджету для організації та проведення Конкурсу бізнес-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проєктів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у рамках Програми розвитку малого і середнього підприємництва у Закарпатській області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      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2025 – 2027 роки (додаток 4 до Положення);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копія паспорта та ідентифікаційного коду;</w:t>
            </w:r>
          </w:p>
          <w:p w:rsidR="00C2163B" w:rsidRPr="00685C80" w:rsidRDefault="00C2163B" w:rsidP="004146BC">
            <w:pPr>
              <w:pStyle w:val="a4"/>
              <w:shd w:val="clear" w:color="auto" w:fill="FFFFFF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довідка про відсутність заборгованості зі сплати податків та зборів, отримана від відповідної територіальної установи ДПС України;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згода на обробку персональних даних (додаток 5 до Положення);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розгорнутий витяг з ЄДР (у разі реєстрації ФОП та внесення змін);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довідка про реквізити рахунку; 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довідка про наявність статусу ВПО або ветерана/учасника бойових дій (за наявності).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 Конкурсу несе відповідальність за повноту та достовірність відомостей та поданих на Конкурс документів.</w:t>
            </w:r>
          </w:p>
          <w:p w:rsidR="00C2163B" w:rsidRPr="00685C80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Необхідні документи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подаються онлайн через платформу ,,Допомога Закарпаття” у розділі ,,Допомога бізнесу” за посиланням: </w:t>
            </w:r>
            <w:hyperlink r:id="rId4" w:history="1">
              <w:r w:rsidRPr="00685C80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https://dopomoha.carpathia.gov.ua/</w:t>
              </w:r>
            </w:hyperlink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85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 накладанням кваліфікованого електронного підпису, протягом 30 календарних днів із дня оголошення Конкурсу.</w:t>
            </w:r>
          </w:p>
          <w:p w:rsidR="00C2163B" w:rsidRPr="007B5012" w:rsidRDefault="00C2163B" w:rsidP="004146BC">
            <w:pPr>
              <w:shd w:val="clear" w:color="auto" w:fill="FFFFFF"/>
              <w:suppressAutoHyphens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tabs>
                <w:tab w:val="left" w:pos="426"/>
                <w:tab w:val="left" w:pos="567"/>
                <w:tab w:val="left" w:pos="5529"/>
              </w:tabs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4. </w:t>
            </w:r>
            <w:r w:rsidRPr="00685C8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 комісія та о</w:t>
            </w:r>
            <w:r w:rsidRPr="00685C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рганізаційні засади проведення Конкурсу</w:t>
            </w:r>
          </w:p>
          <w:p w:rsidR="00C2163B" w:rsidRPr="00685C80" w:rsidRDefault="00C2163B" w:rsidP="004146BC">
            <w:pPr>
              <w:tabs>
                <w:tab w:val="left" w:pos="426"/>
                <w:tab w:val="left" w:pos="567"/>
                <w:tab w:val="left" w:pos="5529"/>
              </w:tabs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4.1. Проведення Конкурсу, вирішення інших питань щодо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визначення переможців Конкурсу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здійснюється конкурсною комісією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(далі – Конкурсна комісія)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, яка утворюється розпорядженням голови 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обласної державної адміністрації – начальника обласної військової адміністрації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  <w:p w:rsidR="00C2163B" w:rsidRPr="00685C80" w:rsidRDefault="00C2163B" w:rsidP="004146B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4.2. До складу Конкурсної комісії можуть входити представники структурних підрозділів облдержадміністрації –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обласної військової адміністрації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, депутати обласної ради, представники громадських організацій та об’єднань суб’єктів господарювання (за згодою) тощо.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163B" w:rsidRPr="00685C80" w:rsidRDefault="00C2163B" w:rsidP="004146B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Членство у Конкурсній комісії не має створювати конфлікту інтересів щодо членів цієї Конкурсної комісії, що може вплинути на об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єктивність та неупередженість прийняття рішень. </w:t>
            </w:r>
          </w:p>
          <w:p w:rsidR="00C2163B" w:rsidRPr="00685C80" w:rsidRDefault="00C2163B" w:rsidP="004146B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Конкурсної комісії зобов’язані:</w:t>
            </w:r>
          </w:p>
          <w:p w:rsidR="00C2163B" w:rsidRPr="00685C80" w:rsidRDefault="00C2163B" w:rsidP="004146B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повідомляти голову Конкурсної комісії або його заступника про наявність у них реального чи потенційного конфлікту інтересів до початку розгляду питання, щодо якого виникає конфлікт інтересів; </w:t>
            </w:r>
          </w:p>
          <w:p w:rsidR="00C2163B" w:rsidRPr="00685C80" w:rsidRDefault="00C2163B" w:rsidP="004146B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брати участі у розгляді питання, щодо якого виникає конфлікт інтересів. </w:t>
            </w:r>
          </w:p>
          <w:p w:rsidR="00C2163B" w:rsidRPr="00685C80" w:rsidRDefault="00C2163B" w:rsidP="004146BC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Повідомлення члена Конкурсної комісії про реальний або потенційний конфлікт інтересів заноситься до відповідного протоколу засідання Конкурсної комісії.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4.3. Організаційне забезпечення діяльності Конкурсної комісії здійснює Департамент.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4.4. Формою роботи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Конкурсної комісії є засідання, яке скликається головою Конкурсної комісії.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Засідання Конкурсної комісії є правомочним, якщо на ньому присутні більше ніж половина її членів.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На період відсутності голови та/або секретаря Конкурсної комісії (через хворобу, у разі відпустки тощо) їх повноваження покладаються на заступника голови та одного з членів Конкурсної комісії відповідно.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4.5. На першому засіданні Конкурсна комісія визначає та затверджує протокольним рішенням: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умови та критерії відбору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Учасників Конкурсу;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форму звіту для переможців Конкурсу про реалізацію бізнес-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, який включатиме перелік напрямів використання коштів, опис заходів та результативні показники;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інші організаційні засади проведення Конкурсу.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4.6. Конкурсна комісія має право відмовити Учаснику Конкурсу у разі якщо ним було подано неповний пакет документів або не було усунуто недоліки у документах у строки, встановлені цим Положенням. 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4.7. До організації та проведення Конкурсу можуть залучатися також громадські організації, благодійні фонди, комерційні структури, які поділяють мету Конкурсу та готові надати організаційне чи матеріальне сприяння у реалізації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Учасників Конкурсу.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4.8. Для організації та проведення навчання Учасників Конкурсу щодо складання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Департаментом, на договірних умовах, можуть залучатися представники суб’єктів господарювання тощо.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tabs>
                <w:tab w:val="left" w:pos="426"/>
                <w:tab w:val="left" w:pos="567"/>
                <w:tab w:val="left" w:pos="552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 Порядок проведення Конкурсу</w:t>
            </w:r>
          </w:p>
          <w:p w:rsidR="00C2163B" w:rsidRPr="00685C80" w:rsidRDefault="00C2163B" w:rsidP="004146BC">
            <w:pPr>
              <w:tabs>
                <w:tab w:val="left" w:pos="426"/>
                <w:tab w:val="left" w:pos="567"/>
                <w:tab w:val="left" w:pos="5529"/>
              </w:tabs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 Конкурс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проводиться у два етапи. 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  <w:t xml:space="preserve">5.2. Перший етап Конкурсу триває 60 днів. 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  <w:t>На цьому етапі Департамент: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  <w:t xml:space="preserve">проводить інформаційну кампанію 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 w:bidi="ar-SA"/>
              </w:rPr>
              <w:t xml:space="preserve">щодо популяризації та можливостей Конкурсу, </w:t>
            </w:r>
            <w:r w:rsidRPr="00685C80">
              <w:rPr>
                <w:rFonts w:ascii="Times New Roman" w:hAnsi="Times New Roman" w:cs="Times New Roman"/>
                <w:iCs/>
                <w:sz w:val="28"/>
                <w:szCs w:val="28"/>
                <w:lang w:eastAsia="ru-RU" w:bidi="ar-SA"/>
              </w:rPr>
              <w:t>підприємництва як виду зайнятості та оголошення результатів попереднього Конкурсу;</w:t>
            </w:r>
          </w:p>
          <w:p w:rsidR="00C2163B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забезпечує розміщення на офіційному 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вебсайті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облдержадміністрації – 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обласної військової адміністрації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, а також у друкованих засобах масової інформації, інших джерелах оголошення про початок Конкурсу та умови його проведення,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перелік документів та зразки заяв, необхідних для участі у Конкурсі, умови та критерії відбору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Учасників Конкурсу,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термін прийняття заявок для участі;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організовує 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дво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-/триденний семінар щодо складання (написання) бізнес-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(за необхідності);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абезпечує облік заявок Учасників для участі у Конкурсі.</w:t>
            </w:r>
          </w:p>
          <w:p w:rsidR="00C2163B" w:rsidRPr="00685C80" w:rsidRDefault="00C2163B" w:rsidP="004146BC">
            <w:pPr>
              <w:tabs>
                <w:tab w:val="left" w:pos="0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 разі неподання жодної конкурсної заявки строк приймання документів на Конкурс за рішенням Конкурсної комісії може бути продовжено, але не більш ніж на 30 днів.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85C8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5.3. Другий етап Конкурсу триває 30 днів.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 цьому етапі Департамент: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не пізніше 20</w:t>
            </w:r>
            <w:r w:rsidRPr="00685C80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робочих днів з моменту закінчення прийняття заявок на участь у Конкурсі узагальнює інформацію про отримані заявки та у разі, якщо є такі, що не відповідають технічним вимогам (відсутні документи, наявні технічні помилки, відсутні підписи тощо), повідомляє Учасника про виявлені недоліки та дає можливість усунути їх протягом трьох робочих днів;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після формування остаточного списку заявок, що пройшли технічну перевірку, надсилає членам Конкурсної комісії узагальнену інформацію про отримані заявки та відповідність технічним вимогам Конкурсу;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за погодженням із головою Конкурсної комісії призначає дату проведення презентацій бізнес-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.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 засіданні Конкурсної комісії автор бізнес-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або авторський колектив у складі не більше трьох осіб представляє бізнес-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проєкт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у форматі виступу або презентації. </w:t>
            </w:r>
          </w:p>
          <w:p w:rsidR="00C2163B" w:rsidRPr="00685C80" w:rsidRDefault="00C2163B" w:rsidP="004146BC">
            <w:pPr>
              <w:shd w:val="clear" w:color="auto" w:fill="FFFFFF"/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5.4. За результатами розгляду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Учасників членами Конкурсної комісії проводиться оцінювання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критеріями, встановленими Конкурсною комісією. Рішення про обрання переможців Конкурсу приймається за результатами підрахування суми отриманих балів кожним Учасником згідно з вимогами Конкурсу і оформлюється протоколом.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5.5. 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Рішення Конкурсної комісії про визначення переможців опубліковується на офіційному 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вебсайті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облдержадміністрації – 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обласної військової адміністрації та сторінці Департаменту у соціальній мережі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Facebook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пізніше ніж через 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пʼять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робочих днів після проведення засідання Конкурсної комісії, на якому були визначені переможці.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5.6. 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Конкурсна комісія встановлює і призначає розміри фінансової підтримки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реалізації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переможцями Конкурсу, але не більше 200 000 гривень для одного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163B" w:rsidRPr="00685C80" w:rsidRDefault="00C2163B" w:rsidP="004146BC">
            <w:pP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5.7. </w:t>
            </w:r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Департамент надсилає кожному Учаснику на електронну адресу, зазначену у реєстраційній заяві, витяг із протоколу засідання Конкурсної комісії протягом </w:t>
            </w:r>
            <w:proofErr w:type="spellStart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пʼяти</w:t>
            </w:r>
            <w:proofErr w:type="spellEnd"/>
            <w:r w:rsidRPr="00685C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робочих днів із дня прийняття рішення Конкурсною комісією.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5.8. У разі виникнення спірних та інших питань щодо надання фінансової підтримки чи незгоди Учасника з рішенням Конкурсної комісії він має право оскаржити рішення, дії або бездіяльність Конкурсної комісії, подавши звернення до Департаменту протягом трьох робочих днів із дня оголошення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рішення Конкурсної комісії про обрання переможців Конкурсу.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розгляду скарги Департамент 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скликає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Конкурсну комісію та повідомляє заявника про результати розгляду скарги електронною поштою  протягом 30 днів із дня, наступного за днем надходження скарги.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5.9. Обов’язковою умовою отримання фінансової підтримки для громадян України – переможців Конкурсу, є здійснення державної реєстрації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підприємницької діяльності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Закарпатській області. 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разі якщо переможцем конкурсу визнано фізичну особу, що не є суб’єктом підприємницької діяльності, такий переможець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не пізніше ніж через 10 календарних днів після оголошення результатів Конкурсу повинен зареєструватися в ЄДР як фізична особа – підприємець, про що повідомити  Департамент протягом двох робочих днів після реєстрації шляхом подання витягу про державну реєстрацію підприємницької діяльності з ЄДР.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5.10. Департамент укладає договір про надання фінансової підтримки   (далі – Договір) із переможцем Конкурсу: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протягом 3 (трьох) робочих днів після подання переможцем витягу про державну реєстрацію з ЄДР (для новостворених ФОП);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10 (десяти) робочих днів із дня оголошення результатів Конкурсу (для діючих ФОП). 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5.11. У разі якщо з тих чи інших причин переможець Конкурсу не може зареєструватися як ФОП або порушить умови Конкурсу, що зробить неможливим надання йому фінансової підтримки, такий Учасник буде дискваліфікований, а його місце займе наступний за кількістю отриманих балів, що не увійшов у число переможців.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5.12. Із метою ефективного та пропорційного розподілу загального бюджету Конкурсу Конкурсна комісія може коригувати розмір фінальної суми, що надається кожному переможцю.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5.13. 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Переможці Конкурсу зобов’язані:</w:t>
            </w:r>
          </w:p>
          <w:p w:rsidR="00C2163B" w:rsidRPr="00685C80" w:rsidRDefault="00C2163B" w:rsidP="004146BC">
            <w:pPr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5.13.1. Подати Департаменту звіт про реалізацію бізнес-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, який включатиме перелік напрямів використання коштів, опис заходів та результативні показники, у строк не пізніше ніж через шість місяців із дня перерахування Департаментом коштів фінансової підтримки, у паперовому та електронному вигляді згідно із додатком 6 до Положення.</w:t>
            </w:r>
          </w:p>
          <w:p w:rsidR="00C2163B" w:rsidRPr="00685C80" w:rsidRDefault="00C2163B" w:rsidP="004146BC">
            <w:pPr>
              <w:suppressAutoHyphens w:val="0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5.13.2. Не припиняти підприємницьку діяльність протягом двох років із моменту отримання коштів фінансової підтримки.</w:t>
            </w:r>
          </w:p>
          <w:p w:rsidR="00C2163B" w:rsidRPr="00685C80" w:rsidRDefault="00C2163B" w:rsidP="004146BC">
            <w:pPr>
              <w:suppressAutoHyphens w:val="0"/>
              <w:ind w:firstLine="597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5.13.3. Отриману фінансову підтримку витрачати на</w:t>
            </w:r>
            <w:r w:rsidRPr="00685C8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придбання обладнання, комплектуючих до нього, матеріалів, сировини та іншого інвентарю, необхідного для реалізації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бізнес-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>, перелік якого зазначено у таблиці 5 додатка 3 до Положення</w:t>
            </w:r>
            <w:r w:rsidRPr="00685C8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C2163B" w:rsidRPr="00685C80" w:rsidRDefault="00C2163B" w:rsidP="004146BC">
            <w:pPr>
              <w:suppressAutoHyphens w:val="0"/>
              <w:ind w:firstLine="59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</w:pPr>
            <w:r w:rsidRPr="00685C8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За необхідності внесення змін до такого переліку здійснювати попереднє погодження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 xml:space="preserve">таких змін з Головним розпорядником коштів шляхом надання належним чином оформленого обґрунтування такої необхідності разом із підтверджуючими документами. 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5.14. П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овернути кошти фінансової підтримки до обласного бюджету у разі: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їх використання не за цільовим призначенням, зазначеним у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проєкті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або невикористання протягом півроку після їх отримання;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разі припинення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 w:bidi="ar-SA"/>
              </w:rPr>
              <w:t>підприємницької діяльності протягом двох років із моменту отримання коштів фінансової підтримки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5.15. Сплатити усі податки та збори, пов’язані з отриманням фінансової підтримки у межах Конкурсу.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6. Механізм повернення коштів фінансової підтримки </w:t>
            </w:r>
          </w:p>
          <w:p w:rsidR="00C2163B" w:rsidRPr="00685C80" w:rsidRDefault="00C2163B" w:rsidP="004146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одержувачем фінансової підтримки</w:t>
            </w:r>
          </w:p>
          <w:p w:rsidR="00C2163B" w:rsidRPr="00685C80" w:rsidRDefault="00C2163B" w:rsidP="004146BC">
            <w:pPr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:rsidR="00C2163B" w:rsidRPr="00685C80" w:rsidRDefault="00C2163B" w:rsidP="004146BC">
            <w:pPr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6.1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 Цей механізм визначає порядок повернення коштів фінансової підтримки, наданих з обласного бюджету на реалізацію бізнес-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у випадках, передбачених підпунктом 5.14 Положення.</w:t>
            </w:r>
          </w:p>
          <w:p w:rsidR="00C2163B" w:rsidRPr="00685C80" w:rsidRDefault="00C2163B" w:rsidP="004146BC">
            <w:pPr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6.2. 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Повернення коштів здійснюється у таких випадках: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6.2.1. Використання коштів не за цільовим призначенням, визначеним у бізнес-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6.2.2. Невикористання наданих коштів протягом шести місяців з дати їх отримання.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6.2.3. Припинення підприємницької діяльності одержувача протягом двох років з дати отримання фінансової підтримки.</w:t>
            </w:r>
          </w:p>
          <w:p w:rsidR="00C2163B" w:rsidRPr="00685C80" w:rsidRDefault="00C2163B" w:rsidP="004146BC">
            <w:pPr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6.3. 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Контроль за цільовим і своєчасним використанням коштів здійснює Департамент шляхом здійснення 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щорічного моніторингу реалізації бізнес-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одержувачами фінансової підтримки та інформує про результати Конкурсну комісію.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6.4. У разі виявлення порушень складається акт перевірки з обґрунтуванням підстав для повернення коштів.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6.5. На підставі </w:t>
            </w:r>
            <w:proofErr w:type="spellStart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перевірки Конкурсна комісія приймає рішення про повернення коштів до обласного бюджету.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6.6. На підставі протокольного рішення Конкурсної комісії Департамент надсилає одержувачу фінансової підтримки письмове повідомлення (рекомендованим листом або електронною поштою з підтвердженням отримання), із зазначенням:</w:t>
            </w:r>
          </w:p>
          <w:p w:rsidR="00C2163B" w:rsidRPr="00685C80" w:rsidRDefault="00C2163B" w:rsidP="004146BC">
            <w:pPr>
              <w:suppressAutoHyphens w:val="0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суми коштів, що підлягає поверненню;</w:t>
            </w:r>
          </w:p>
          <w:p w:rsidR="00C2163B" w:rsidRPr="00685C80" w:rsidRDefault="00C2163B" w:rsidP="004146BC">
            <w:pPr>
              <w:suppressAutoHyphens w:val="0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 для повернення;</w:t>
            </w:r>
          </w:p>
          <w:p w:rsidR="00C2163B" w:rsidRPr="00685C80" w:rsidRDefault="00C2163B" w:rsidP="004146BC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строку повернення (не більше 30 календарних днів з дати отримання повідомлення);</w:t>
            </w:r>
          </w:p>
          <w:p w:rsidR="00C2163B" w:rsidRPr="00685C80" w:rsidRDefault="00C2163B" w:rsidP="004146BC">
            <w:pPr>
              <w:suppressAutoHyphens w:val="0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реквізитів рахунку обласного бюджету.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6.7. Одержувач фінансової підтримки зобов’язаний повернути вказану суму на зазначений рахунок обласного бюджету у визначений строк.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6.8. У разі добровільного повернення протягом зазначеного строку штрафні санкції не застосовуються.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6.9. У разі несвоєчасного повернення коштів:</w:t>
            </w:r>
          </w:p>
          <w:p w:rsidR="00C2163B" w:rsidRPr="00685C80" w:rsidRDefault="00C2163B" w:rsidP="004146BC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суму заборгованості нараховується пеня згідно з чинним законодавством;</w:t>
            </w:r>
          </w:p>
          <w:p w:rsidR="00C2163B" w:rsidRPr="00685C80" w:rsidRDefault="00C2163B" w:rsidP="004146BC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уповноважений орган має право звернутися до суду для примусового стягнення заборгованості.</w:t>
            </w:r>
          </w:p>
          <w:p w:rsidR="00C2163B" w:rsidRPr="00685C80" w:rsidRDefault="00C2163B" w:rsidP="004146B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6.10. Усі витрати, пов’язані з примусовим стягненням коштів, несе одержувач фінансової підтримки.</w:t>
            </w:r>
          </w:p>
          <w:p w:rsidR="00C2163B" w:rsidRPr="00685C80" w:rsidRDefault="00C2163B" w:rsidP="004146B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7. Фінансове забезпечення Конкурсу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7.1. 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Протокол засідання Конкурсної комісії є підставою для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укладання 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договору між Департаментом та переможцем Конкурсу. 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7.2. Укладений договір, у якому зазначаються розмір та порядок надання фінансової підтримки, є підставою для перерахування коштів з обласного бюджету переможцю Конкурсу.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63B" w:rsidRPr="00685C80" w:rsidTr="004146BC">
        <w:trPr>
          <w:gridAfter w:val="1"/>
          <w:wAfter w:w="108" w:type="dxa"/>
        </w:trPr>
        <w:tc>
          <w:tcPr>
            <w:tcW w:w="9639" w:type="dxa"/>
          </w:tcPr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8. Прикінцеві положення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8.1. Департамент: 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перераховує відповідно до укладених договорів про надання фінансової підтримки бюджетні кошти переможцям Конкурсу згідно із протокольним рішенням Конкурсної комісії;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готує звіт про використання бюджетних коштів та подає його Конкурсній комісії. 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Складення і подання фінансової та бюджетної 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звітностей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 про використання коштів обласного бюджету, а також контроль за їх цільовим та ефективним використанням здійснюються в установленому законодавством порядку;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здійснює моніторинг реалізації бізнес-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проєктів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переможцями Конкурсу та інформує </w:t>
            </w:r>
            <w:r w:rsidRPr="00685C8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Конкурсну комісію</w:t>
            </w:r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 хід реалізації </w:t>
            </w:r>
            <w:proofErr w:type="spellStart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проєкту</w:t>
            </w:r>
            <w:proofErr w:type="spellEnd"/>
            <w:r w:rsidRPr="00685C8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685C8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8.2. Операції, пов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язані з використанням бюджетних коштів, здійснюються відповідно до Порядку казначейського обслуговування місцевих бюджетів, затвердженого Міністерством фінансів України.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8.3. У разі </w:t>
            </w:r>
            <w:proofErr w:type="spellStart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неукладення</w:t>
            </w:r>
            <w:proofErr w:type="spellEnd"/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договору з вини переможця Конкурсу у термін до  20 грудня поточного бюджетного року переможець Конкурсу втрачає своє право на отримання фінансової допомоги. </w:t>
            </w:r>
          </w:p>
          <w:p w:rsidR="00C2163B" w:rsidRPr="00685C80" w:rsidRDefault="00C2163B" w:rsidP="004146BC">
            <w:pPr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8.4. Департамент згідно з рішенням Конкурсної комісії за результатами розгляду звітів може витребувати від переможця Конкурсу, з яким було підписано Договір, повернення використаних не за цільовим призначенням або невикористаних протягом півроку після їх отримання коштів фінансової підтримки.</w:t>
            </w:r>
          </w:p>
          <w:p w:rsidR="00C2163B" w:rsidRPr="00685C80" w:rsidRDefault="00C2163B" w:rsidP="004146BC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8.5. Питання, неврегульовані цим Положенням, вирішуються відповідно до вимог чинного законодавства України.</w:t>
            </w:r>
          </w:p>
        </w:tc>
      </w:tr>
    </w:tbl>
    <w:p w:rsidR="00C2163B" w:rsidRDefault="00C2163B" w:rsidP="00C2163B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2163B" w:rsidRPr="00685C80" w:rsidRDefault="00C2163B" w:rsidP="00C2163B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2163B" w:rsidRPr="00685C80" w:rsidRDefault="00C2163B" w:rsidP="00C2163B">
      <w:pPr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2163B" w:rsidRPr="00685C80" w:rsidRDefault="00C2163B" w:rsidP="00C2163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37"/>
        <w:gridCol w:w="4395"/>
      </w:tblGrid>
      <w:tr w:rsidR="00C2163B" w:rsidRPr="00685C80" w:rsidTr="004146BC">
        <w:tc>
          <w:tcPr>
            <w:tcW w:w="5137" w:type="dxa"/>
          </w:tcPr>
          <w:p w:rsidR="00C2163B" w:rsidRPr="00685C80" w:rsidRDefault="00C2163B" w:rsidP="0041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департаменту економічного та регіонального розвитку обласної  військової  адміністрації</w:t>
            </w:r>
          </w:p>
        </w:tc>
        <w:tc>
          <w:tcPr>
            <w:tcW w:w="4395" w:type="dxa"/>
          </w:tcPr>
          <w:p w:rsidR="00C2163B" w:rsidRPr="00685C80" w:rsidRDefault="00C2163B" w:rsidP="0041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63B" w:rsidRPr="00685C80" w:rsidRDefault="00C2163B" w:rsidP="00414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63B" w:rsidRPr="00685C80" w:rsidRDefault="00C2163B" w:rsidP="004146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C80">
              <w:rPr>
                <w:rFonts w:ascii="Times New Roman" w:hAnsi="Times New Roman" w:cs="Times New Roman"/>
                <w:b/>
                <w:sz w:val="28"/>
                <w:szCs w:val="28"/>
              </w:rPr>
              <w:t>Тарас ТРИНДЯК</w:t>
            </w:r>
          </w:p>
        </w:tc>
      </w:tr>
    </w:tbl>
    <w:p w:rsidR="00C2163B" w:rsidRPr="00685C80" w:rsidRDefault="00C2163B" w:rsidP="00C2163B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6E0F" w:rsidRDefault="000C6E0F">
      <w:bookmarkStart w:id="0" w:name="_GoBack"/>
      <w:bookmarkEnd w:id="0"/>
    </w:p>
    <w:sectPr w:rsidR="000C6E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3B"/>
    <w:rsid w:val="00006524"/>
    <w:rsid w:val="000C6E0F"/>
    <w:rsid w:val="000F17B0"/>
    <w:rsid w:val="00263A1B"/>
    <w:rsid w:val="002B3033"/>
    <w:rsid w:val="00302C87"/>
    <w:rsid w:val="004C3E99"/>
    <w:rsid w:val="007B4339"/>
    <w:rsid w:val="007E7B3A"/>
    <w:rsid w:val="00972BC9"/>
    <w:rsid w:val="00A13D0E"/>
    <w:rsid w:val="00B63B22"/>
    <w:rsid w:val="00C2163B"/>
    <w:rsid w:val="00CA7713"/>
    <w:rsid w:val="00DE076A"/>
    <w:rsid w:val="00F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25494-9406-4475-8031-919C9890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3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16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163B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  <w:style w:type="table" w:styleId="a5">
    <w:name w:val="Table Grid"/>
    <w:basedOn w:val="a1"/>
    <w:uiPriority w:val="99"/>
    <w:rsid w:val="00C21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pomoha.carpathi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12274</Words>
  <Characters>6997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2026-05-22T08:12:00Z</dcterms:created>
  <dcterms:modified xsi:type="dcterms:W3CDTF">2026-05-22T08:13:00Z</dcterms:modified>
</cp:coreProperties>
</file>